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FF4" w:rsidRPr="001F5FF4" w:rsidRDefault="001F5FF4">
      <w:pPr>
        <w:rPr>
          <w:rFonts w:ascii="Times New Roman" w:hAnsi="Times New Roman" w:cs="Times New Roman"/>
          <w:b/>
        </w:rPr>
      </w:pPr>
      <w:r w:rsidRPr="001F5FF4">
        <w:rPr>
          <w:rFonts w:ascii="Times New Roman" w:hAnsi="Times New Roman" w:cs="Times New Roman"/>
          <w:b/>
        </w:rPr>
        <w:t>Si la tendance se maintient</w:t>
      </w:r>
    </w:p>
    <w:p w:rsidR="00C620F1" w:rsidRPr="001F5FF4" w:rsidRDefault="001F5FF4">
      <w:pPr>
        <w:rPr>
          <w:rFonts w:ascii="Times New Roman" w:hAnsi="Times New Roman" w:cs="Times New Roman"/>
        </w:rPr>
      </w:pPr>
      <w:r w:rsidRPr="001F5FF4">
        <w:rPr>
          <w:rFonts w:ascii="Times New Roman" w:hAnsi="Times New Roman" w:cs="Times New Roman"/>
        </w:rPr>
        <w:t>Dans toutes les stations météorologiques du Canada, il est possible d’observer, chaque jour, la différence entre la température réelle et la température normale.  Cette différence de température, qui est positive ou négative, est appelée une anomalie.</w:t>
      </w:r>
    </w:p>
    <w:p w:rsidR="001F5FF4" w:rsidRPr="001F5FF4" w:rsidRDefault="001F5FF4">
      <w:pPr>
        <w:rPr>
          <w:rFonts w:ascii="Times New Roman" w:hAnsi="Times New Roman" w:cs="Times New Roman"/>
        </w:rPr>
      </w:pPr>
      <w:r>
        <w:rPr>
          <w:rFonts w:ascii="Times New Roman" w:hAnsi="Times New Roman" w:cs="Times New Roman"/>
        </w:rPr>
        <w:t>La table de valeurs</w:t>
      </w:r>
      <w:r w:rsidRPr="001F5FF4">
        <w:rPr>
          <w:rFonts w:ascii="Times New Roman" w:hAnsi="Times New Roman" w:cs="Times New Roman"/>
        </w:rPr>
        <w:t xml:space="preserve"> présente les moyennes des anomalies de température au Canada pour des périodes de 5 ans.</w:t>
      </w:r>
    </w:p>
    <w:p w:rsidR="001F5FF4" w:rsidRPr="001F5FF4" w:rsidRDefault="001F5FF4" w:rsidP="001F5FF4">
      <w:pPr>
        <w:spacing w:after="0"/>
        <w:rPr>
          <w:rFonts w:ascii="Times New Roman" w:hAnsi="Times New Roman" w:cs="Times New Roman"/>
        </w:rPr>
      </w:pPr>
      <w:r w:rsidRPr="001F5FF4">
        <w:rPr>
          <w:rFonts w:ascii="Times New Roman" w:hAnsi="Times New Roman" w:cs="Times New Roman"/>
        </w:rPr>
        <w:t>Una anomalie négative de température signifie qu’il faisait plus froid que la normale.  Une anomalie positive signifie que la température était au-dessus de la normale.</w:t>
      </w:r>
    </w:p>
    <w:p w:rsidR="001F5FF4" w:rsidRDefault="001F5FF4">
      <w:pPr>
        <w:rPr>
          <w:rFonts w:ascii="Times New Roman" w:hAnsi="Times New Roman" w:cs="Times New Roman"/>
          <w:b/>
        </w:rPr>
      </w:pPr>
    </w:p>
    <w:tbl>
      <w:tblPr>
        <w:tblStyle w:val="Grilledutableau"/>
        <w:tblW w:w="8931" w:type="dxa"/>
        <w:tblInd w:w="108" w:type="dxa"/>
        <w:tblLook w:val="04A0" w:firstRow="1" w:lastRow="0" w:firstColumn="1" w:lastColumn="0" w:noHBand="0" w:noVBand="1"/>
      </w:tblPr>
      <w:tblGrid>
        <w:gridCol w:w="2552"/>
        <w:gridCol w:w="708"/>
        <w:gridCol w:w="709"/>
        <w:gridCol w:w="709"/>
        <w:gridCol w:w="709"/>
        <w:gridCol w:w="708"/>
        <w:gridCol w:w="709"/>
        <w:gridCol w:w="709"/>
        <w:gridCol w:w="709"/>
        <w:gridCol w:w="709"/>
      </w:tblGrid>
      <w:tr w:rsidR="001F5FF4" w:rsidTr="001F5FF4">
        <w:trPr>
          <w:trHeight w:val="665"/>
        </w:trPr>
        <w:tc>
          <w:tcPr>
            <w:tcW w:w="2552" w:type="dxa"/>
            <w:shd w:val="clear" w:color="auto" w:fill="C6D9F1" w:themeFill="text2" w:themeFillTint="33"/>
            <w:vAlign w:val="center"/>
          </w:tcPr>
          <w:p w:rsidR="001F5FF4" w:rsidRDefault="001F5FF4" w:rsidP="001F5FF4">
            <w:pPr>
              <w:jc w:val="center"/>
              <w:rPr>
                <w:rFonts w:ascii="Times New Roman" w:hAnsi="Times New Roman" w:cs="Times New Roman"/>
                <w:b/>
              </w:rPr>
            </w:pPr>
            <w:r w:rsidRPr="001F5FF4">
              <w:rPr>
                <w:rFonts w:ascii="Times New Roman" w:hAnsi="Times New Roman" w:cs="Times New Roman"/>
                <w:b/>
              </w:rPr>
              <w:t>Nb d’années écoulées depuis 1960</w:t>
            </w:r>
          </w:p>
        </w:tc>
        <w:tc>
          <w:tcPr>
            <w:tcW w:w="708"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5</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10</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15</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20</w:t>
            </w:r>
          </w:p>
        </w:tc>
        <w:tc>
          <w:tcPr>
            <w:tcW w:w="708"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25</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30</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35</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40</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45</w:t>
            </w:r>
          </w:p>
        </w:tc>
      </w:tr>
      <w:tr w:rsidR="001F5FF4" w:rsidTr="001F5FF4">
        <w:trPr>
          <w:trHeight w:val="665"/>
        </w:trPr>
        <w:tc>
          <w:tcPr>
            <w:tcW w:w="2552" w:type="dxa"/>
            <w:shd w:val="clear" w:color="auto" w:fill="C6D9F1" w:themeFill="text2" w:themeFillTint="33"/>
            <w:vAlign w:val="center"/>
          </w:tcPr>
          <w:p w:rsidR="001F5FF4" w:rsidRDefault="001F5FF4" w:rsidP="001F5FF4">
            <w:pPr>
              <w:jc w:val="center"/>
              <w:rPr>
                <w:rFonts w:ascii="Times New Roman" w:hAnsi="Times New Roman" w:cs="Times New Roman"/>
                <w:b/>
              </w:rPr>
            </w:pPr>
            <w:r w:rsidRPr="001F5FF4">
              <w:rPr>
                <w:rFonts w:ascii="Times New Roman" w:hAnsi="Times New Roman" w:cs="Times New Roman"/>
                <w:b/>
              </w:rPr>
              <w:t>Moyenne des anomalies de température</w:t>
            </w:r>
            <w:r>
              <w:rPr>
                <w:rFonts w:ascii="Times New Roman" w:hAnsi="Times New Roman" w:cs="Times New Roman"/>
                <w:b/>
              </w:rPr>
              <w:t xml:space="preserve"> (°C)</w:t>
            </w:r>
          </w:p>
        </w:tc>
        <w:tc>
          <w:tcPr>
            <w:tcW w:w="708"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-0,25</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0,1</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0,12</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0,2</w:t>
            </w:r>
          </w:p>
        </w:tc>
        <w:tc>
          <w:tcPr>
            <w:tcW w:w="708"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0,38</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0,2</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0,45</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1,43</w:t>
            </w:r>
          </w:p>
        </w:tc>
        <w:tc>
          <w:tcPr>
            <w:tcW w:w="709" w:type="dxa"/>
            <w:vAlign w:val="center"/>
          </w:tcPr>
          <w:p w:rsidR="001F5FF4" w:rsidRDefault="001F5FF4" w:rsidP="001F5FF4">
            <w:pPr>
              <w:jc w:val="center"/>
              <w:rPr>
                <w:rFonts w:ascii="Times New Roman" w:hAnsi="Times New Roman" w:cs="Times New Roman"/>
                <w:b/>
              </w:rPr>
            </w:pPr>
            <w:r>
              <w:rPr>
                <w:rFonts w:ascii="Times New Roman" w:hAnsi="Times New Roman" w:cs="Times New Roman"/>
                <w:b/>
              </w:rPr>
              <w:t>1,32</w:t>
            </w:r>
          </w:p>
        </w:tc>
      </w:tr>
    </w:tbl>
    <w:p w:rsidR="001F5FF4" w:rsidRDefault="001F5FF4">
      <w:pPr>
        <w:rPr>
          <w:rFonts w:ascii="Times New Roman" w:hAnsi="Times New Roman" w:cs="Times New Roman"/>
          <w:b/>
        </w:rPr>
      </w:pPr>
    </w:p>
    <w:p w:rsidR="001F5FF4" w:rsidRDefault="001F5FF4" w:rsidP="001F5FF4">
      <w:pPr>
        <w:rPr>
          <w:rFonts w:ascii="Times New Roman" w:hAnsi="Times New Roman" w:cs="Times New Roman"/>
          <w:b/>
        </w:rPr>
      </w:pPr>
      <w:r w:rsidRPr="001F5FF4">
        <w:rPr>
          <w:rFonts w:ascii="Times New Roman" w:hAnsi="Times New Roman" w:cs="Times New Roman"/>
          <w:b/>
        </w:rPr>
        <w:t>Si la tendance se maintient, quelle sera l’anomalie de température en 2025?</w:t>
      </w:r>
    </w:p>
    <w:p w:rsidR="001F5FF4" w:rsidRDefault="00924BD8">
      <w:pPr>
        <w:rPr>
          <w:rFonts w:ascii="Times New Roman" w:hAnsi="Times New Roman" w:cs="Times New Roman"/>
          <w:b/>
        </w:rPr>
      </w:pPr>
      <w:r w:rsidRPr="001F5FF4">
        <w:rPr>
          <w:rFonts w:ascii="Times New Roman" w:hAnsi="Times New Roman" w:cs="Times New Roman"/>
          <w:b/>
        </w:rPr>
        <w:t xml:space="preserve">Si la tendance se maintient, </w:t>
      </w:r>
      <w:r>
        <w:rPr>
          <w:rFonts w:ascii="Times New Roman" w:hAnsi="Times New Roman" w:cs="Times New Roman"/>
          <w:b/>
        </w:rPr>
        <w:t>quand y aura-t-il une anomalie de température de 7 °C?</w:t>
      </w:r>
    </w:p>
    <w:p w:rsidR="008E1FCA" w:rsidRDefault="008E1FCA">
      <w:pPr>
        <w:rPr>
          <w:rFonts w:ascii="Times New Roman" w:hAnsi="Times New Roman" w:cs="Times New Roman"/>
          <w:b/>
        </w:rPr>
      </w:pPr>
      <w:r>
        <w:rPr>
          <w:rFonts w:ascii="Times New Roman" w:hAnsi="Times New Roman" w:cs="Times New Roman"/>
          <w:b/>
        </w:rPr>
        <w:t>Quelle est l’équation de la droite que vous avez utilisée pour faire vos prévisions?</w:t>
      </w:r>
      <w:bookmarkStart w:id="0" w:name="_GoBack"/>
      <w:bookmarkEnd w:id="0"/>
    </w:p>
    <w:p w:rsidR="001F5FF4" w:rsidRDefault="00924BD8">
      <w:pPr>
        <w:rPr>
          <w:rFonts w:ascii="Times New Roman" w:hAnsi="Times New Roman" w:cs="Times New Roman"/>
          <w:b/>
        </w:rPr>
      </w:pPr>
      <w:r>
        <w:rPr>
          <w:rFonts w:ascii="Times New Roman" w:hAnsi="Times New Roman" w:cs="Times New Roman"/>
          <w:b/>
          <w:noProof/>
          <w:lang w:eastAsia="fr-CA"/>
        </w:rPr>
        <w:drawing>
          <wp:anchor distT="0" distB="0" distL="114300" distR="114300" simplePos="0" relativeHeight="251659264" behindDoc="1" locked="0" layoutInCell="1" allowOverlap="1" wp14:anchorId="602B62A3" wp14:editId="7B740252">
            <wp:simplePos x="0" y="0"/>
            <wp:positionH relativeFrom="column">
              <wp:posOffset>-19050</wp:posOffset>
            </wp:positionH>
            <wp:positionV relativeFrom="paragraph">
              <wp:posOffset>593090</wp:posOffset>
            </wp:positionV>
            <wp:extent cx="5456779" cy="3276600"/>
            <wp:effectExtent l="0" t="0" r="0" b="0"/>
            <wp:wrapNone/>
            <wp:docPr id="2" name="Image 2" descr="C:\Users\allardl\Desktop\as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ardl\Desktop\asa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6779" cy="3276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F5FF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F4"/>
    <w:rsid w:val="001F5FF4"/>
    <w:rsid w:val="008E1FCA"/>
    <w:rsid w:val="00924BD8"/>
    <w:rsid w:val="00C620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146</Words>
  <Characters>807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3</cp:revision>
  <dcterms:created xsi:type="dcterms:W3CDTF">2016-10-12T20:50:00Z</dcterms:created>
  <dcterms:modified xsi:type="dcterms:W3CDTF">2016-10-12T21:14:00Z</dcterms:modified>
</cp:coreProperties>
</file>